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826e7a4b9caef1818f2203f0df9fc666c6346b"/>
    <w:p>
      <w:pPr>
        <w:pStyle w:val="Heading3"/>
      </w:pPr>
      <w:r>
        <w:t xml:space="preserve">Рафик Загрутдинов: завершено устройство буронабивных свай и железобетонных опор эстакад на строящемся дублере Люблинской улицы</w:t>
      </w:r>
    </w:p>
    <w:p>
      <w:pPr>
        <w:pStyle w:val="FirstParagraph"/>
      </w:pPr>
      <w:r>
        <w:t xml:space="preserve">15.02.2022</w:t>
      </w:r>
    </w:p>
    <w:p>
      <w:pPr>
        <w:pStyle w:val="BodyText"/>
      </w:pPr>
      <w:r>
        <w:t xml:space="preserve">«Мы завершили устройство буронабивных свай и железобетонных опор, монтаж железобетонных пролетных строений эстакад на строящемся дублере Люблинской улицы в районе развязки с Юго-Восточной хордой, - сообщил руководитель Департамента строительства города Москвы Рафик Загрутдинов. - Продолжаются работы по перекладке инженерных коммуникаций, бетонированию пролетного строения, монтажу металлоконструкций пролетного строения».</w:t>
      </w:r>
      <w:r>
        <w:t xml:space="preserve"> </w:t>
      </w:r>
      <w:r>
        <w:t xml:space="preserve">Напомним, в настоящее время ведутся работы по строительству дублера Люблинской улицы ведутся на участке от ТТК до транспортной развязки в районе пересечения с Юго-Восточной хордой. Проектом предусматривается строительство и реконструкция 9 км дорог, в том числе 6 эстакад, суммарной протяженностью 2,1 км.</w:t>
      </w:r>
      <w:r>
        <w:t xml:space="preserve"> </w:t>
      </w:r>
      <w:r>
        <w:t xml:space="preserve">«Сергей Собянин поставил задачу в 2023 году завершить строительство всех хордовых магистралей, - добавил Рафик Загрутдинов.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http://upt.mos.ru/presscenter/news/detail/10620167.html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06201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06201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2023-07-14T07:14:35Z</dcterms:created>
  <dcterms:modified xsi:type="dcterms:W3CDTF">2023-07-14T07:14:35Z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