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cc60111ada46be2fb732f8bdcfcd32eddc506"/>
    <w:p>
      <w:pPr>
        <w:pStyle w:val="Heading3"/>
      </w:pPr>
      <w:r>
        <w:t xml:space="preserve">Акция к Международному Дню защиты детей «Под крышей Zаботы»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rPr>
          <w:bCs/>
          <w:b/>
        </w:rPr>
        <w:t xml:space="preserve">«Под крышей Zаботы»</w:t>
      </w:r>
    </w:p>
    <w:p>
      <w:pPr>
        <w:pStyle w:val="BodyText"/>
      </w:pPr>
      <w:r>
        <w:t xml:space="preserve">1 июня 2022 года в России, как и во многих странах, отмечается ежегодный Международный день защиты детей, цель которого – обратить внимание общественности на реальные проблемы детства. Особое внимание должно быть направлено детям без попечения родителей – воспитанникам детских домов. Проводя детство в социальных учреждениях, необходимо быть уверенными в том, что дети обеспечены необходимыми условиями быта, а стены таких учреждений крепкие, теплые и яркие. Строители – это созидатели и творцы, к результатам работы которых можно прикоснуться спустя тысячелетия. В наших руках возможность сделать жизни детей России, оказавшихся в особых условиях воспитания, интереснее и насыщеннее. В целях улучшения жизненных условий воспитанников детских домов, обеспечения их досуга, а также популяризации благотворительной деятельности в обществе и вовлечения в нее широких слоев населения 1 июня по всей России предлагается провести акцию «Под крышей Zаботы».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Миссия:</w:t>
      </w:r>
      <w:r>
        <w:t xml:space="preserve"> </w:t>
      </w:r>
      <w:r>
        <w:t xml:space="preserve">помощь детям из детских домов, школ-интернатов, домов ребенка. </w:t>
      </w:r>
    </w:p>
    <w:p>
      <w:pPr>
        <w:pStyle w:val="BodyText"/>
      </w:pPr>
      <w:r>
        <w:rPr>
          <w:bCs/>
          <w:b/>
        </w:rPr>
        <w:t xml:space="preserve">Цели:</w:t>
      </w:r>
      <w:r>
        <w:t xml:space="preserve"> </w:t>
      </w:r>
      <w:r>
        <w:t xml:space="preserve">улучшение жизненных условий воспитанников детских домов; обеспечение досуга воспитанников детских домов; популяризация благотворительной деятельности в обществе и вовлечение в нее широких слоев населения. </w:t>
      </w:r>
    </w:p>
    <w:p>
      <w:pPr>
        <w:pStyle w:val="BodyText"/>
      </w:pPr>
      <w:r>
        <w:rPr>
          <w:bCs/>
          <w:b/>
        </w:rPr>
        <w:t xml:space="preserve">География:</w:t>
      </w:r>
      <w:r>
        <w:t xml:space="preserve"> </w:t>
      </w:r>
      <w:r>
        <w:t xml:space="preserve">субъекты РФ, территории Луганской Народной Республики, Донецкой Народной Республики. </w:t>
      </w:r>
    </w:p>
    <w:p>
      <w:pPr>
        <w:pStyle w:val="BodyText"/>
      </w:pPr>
      <w:r>
        <w:rPr>
          <w:bCs/>
          <w:b/>
        </w:rPr>
        <w:t xml:space="preserve">Задачи:</w:t>
      </w:r>
      <w:r>
        <w:t xml:space="preserve"> </w:t>
      </w:r>
      <w:r>
        <w:t xml:space="preserve">оказание социальной помощи детям-сиротам и детям без попечения родителей; улучшение жизненного комфорта детей из детских домов. </w:t>
      </w:r>
    </w:p>
    <w:p>
      <w:pPr>
        <w:pStyle w:val="BodyText"/>
      </w:pPr>
      <w:r>
        <w:rPr>
          <w:bCs/>
          <w:b/>
        </w:rPr>
        <w:t xml:space="preserve">Лозунг:</w:t>
      </w:r>
      <w:r>
        <w:t xml:space="preserve"> </w:t>
      </w:r>
      <w:r>
        <w:t xml:space="preserve">«Каждому ребенку от доброго строителя» или «Поддержи нуждающихся – окажи содействие».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u w:val="single"/>
        </w:rPr>
        <w:t xml:space="preserve">Варианты помощи:</w:t>
      </w:r>
      <w:r>
        <w:rPr>
          <w:u w:val="single"/>
        </w:rPr>
        <w:t xml:space="preserve"> </w:t>
      </w:r>
    </w:p>
    <w:p>
      <w:pPr>
        <w:pStyle w:val="BodyText"/>
      </w:pPr>
      <w:r>
        <w:t xml:space="preserve">1. Улучшение качества жизненного пространства: ремонт в детских домах, установка детских площадок. Централизованная рассылка по региональным министерствам. Контрольная группа выполняет следующее: облагораживание территории детского дома (уборка территории, покраска и ремонт детских площадок, заборов, клумб и территорий), покупка материалов для косметического ремонта, ремонт детского дома.</w:t>
      </w:r>
      <w:r>
        <w:br/>
      </w:r>
      <w:r>
        <w:t xml:space="preserve">2. Социальная (благотворительная) помощь – потребности, заявленные детским домом. Организация содействия в обеспечении детей-сирот: канцтоварами, книгами, детскими игрушками, спортивными товарами, товарами для летнего активного отдыха; детской одеждой, обувью; санитарно-гигиеническими средствами; мебелью для детского дома и другой помощью, заявленной детским домом. </w:t>
      </w:r>
    </w:p>
    <w:p>
      <w:pPr>
        <w:pStyle w:val="BodyText"/>
      </w:pPr>
      <w:r>
        <w:t xml:space="preserve">3. Проведение развлекательных и досуговых программ в строительной тематике. Организация экскурсий для детей из детских домов на строительные объекты, проведение лекций на тему введения в строительную отрасль и ЖКХ, привлечение внимания к строительной отрасли и ЖКХ, в том числе для популяризации профессии строителя и специалиста ЖКХ. </w:t>
      </w:r>
    </w:p>
    <w:p>
      <w:pPr>
        <w:pStyle w:val="BodyText"/>
      </w:pPr>
      <w:r>
        <w:t xml:space="preserve">4. Финансовая поддержка. Финансовая поддержка заключается в пожертвованиях определенных сумм детским домам на различные нужды.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Требования к использованию логотипа Акции: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Логотип и лозунг используется в оригинальном виде для полиграфии и в электронных устройствах отображения — на сайте, в презентациях, веббаннерах и т.д. </w:t>
      </w:r>
    </w:p>
    <w:p>
      <w:pPr>
        <w:pStyle w:val="BodyText"/>
      </w:pPr>
      <w:r>
        <w:rPr>
          <w:bCs/>
          <w:b/>
        </w:rPr>
        <w:t xml:space="preserve">Шрифт</w:t>
      </w:r>
      <w:r>
        <w:t xml:space="preserve"> </w:t>
      </w:r>
      <w:r>
        <w:t xml:space="preserve">— PRAGMATIKA, PRAGMATICA SLABSERIF. </w:t>
      </w:r>
    </w:p>
    <w:p>
      <w:pPr>
        <w:pStyle w:val="BodyText"/>
      </w:pPr>
      <w:r>
        <w:rPr>
          <w:bCs/>
          <w:b/>
        </w:rPr>
        <w:t xml:space="preserve">Система кеглей</w:t>
      </w:r>
      <w:r>
        <w:t xml:space="preserve"> </w:t>
      </w:r>
      <w:r>
        <w:t xml:space="preserve">— (а) 6, 10, 16, 26, 42, 68 или (б) 8, 11, 19, 30, 39, 69. </w:t>
      </w:r>
    </w:p>
    <w:p>
      <w:pPr>
        <w:pStyle w:val="BodyText"/>
      </w:pPr>
      <w:r>
        <w:rPr>
          <w:bCs/>
          <w:b/>
        </w:rPr>
        <w:t xml:space="preserve">Минимальный возможный размер логотипа по ширине при печати</w:t>
      </w:r>
      <w:r>
        <w:t xml:space="preserve"> </w:t>
      </w:r>
      <w:r>
        <w:t xml:space="preserve">— 4 см. </w:t>
      </w:r>
    </w:p>
    <w:p>
      <w:pPr>
        <w:pStyle w:val="BodyText"/>
      </w:pPr>
      <w:r>
        <w:rPr>
          <w:bCs/>
          <w:b/>
        </w:rPr>
        <w:t xml:space="preserve">Цветовая палитра</w:t>
      </w:r>
      <w:r>
        <w:t xml:space="preserve"> </w:t>
      </w:r>
      <w:r>
        <w:t xml:space="preserve">— (синий) CMYK 98/65/24/20, RGB 0/80/123</w:t>
      </w:r>
    </w:p>
    <w:p>
      <w:pPr>
        <w:pStyle w:val="BodyText"/>
      </w:pPr>
      <w:r>
        <w:rPr>
          <w:bCs/>
          <w:b/>
        </w:rPr>
        <w:t xml:space="preserve">Запрещается</w:t>
      </w:r>
      <w:r>
        <w:t xml:space="preserve">: </w:t>
      </w:r>
    </w:p>
    <w:p>
      <w:pPr>
        <w:pStyle w:val="BodyText"/>
      </w:pPr>
      <w:r>
        <w:t xml:space="preserve">1. Менять шрифт в логотипе. </w:t>
      </w:r>
    </w:p>
    <w:p>
      <w:pPr>
        <w:pStyle w:val="BodyText"/>
      </w:pPr>
      <w:r>
        <w:t xml:space="preserve">2. Изменять относительные размеры знака и буквенного обозначения. </w:t>
      </w:r>
    </w:p>
    <w:p>
      <w:pPr>
        <w:pStyle w:val="BodyText"/>
      </w:pPr>
      <w:r>
        <w:t xml:space="preserve">3. Поворачивать знак внутри логотипа. </w:t>
      </w:r>
    </w:p>
    <w:p>
      <w:pPr>
        <w:pStyle w:val="BodyText"/>
      </w:pPr>
      <w:r>
        <w:t xml:space="preserve">4. Изменять место знака в логотипе. </w:t>
      </w:r>
    </w:p>
    <w:p>
      <w:pPr>
        <w:pStyle w:val="BodyText"/>
      </w:pPr>
      <w:r>
        <w:t xml:space="preserve">5. Менять местами знак и буквенное обозначение. </w:t>
      </w:r>
    </w:p>
    <w:p>
      <w:pPr>
        <w:pStyle w:val="BodyText"/>
      </w:pPr>
      <w:r>
        <w:t xml:space="preserve">6. Произвольно удалять и/или добавлять элементы в логотипе. </w:t>
      </w:r>
    </w:p>
    <w:p>
      <w:pPr>
        <w:pStyle w:val="BodyText"/>
      </w:pPr>
      <w:r>
        <w:t xml:space="preserve">7. Произвольно менять цвета в знаке. </w:t>
      </w:r>
    </w:p>
    <w:p>
      <w:pPr>
        <w:pStyle w:val="BodyText"/>
      </w:pPr>
      <w:r>
        <w:t xml:space="preserve">8. Изменять пропорции и форму логотипа. Ссылка на скачивание</w:t>
      </w:r>
      <w:r>
        <w:t xml:space="preserve"> </w:t>
      </w:r>
      <w:hyperlink r:id="rId20">
        <w:r>
          <w:rPr>
            <w:rStyle w:val="Hyperlink"/>
          </w:rPr>
          <w:t xml:space="preserve">логотипа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http://upt.mos.ru/presscenter/news/detail/10842356.html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center/news/detail/10842356.html" TargetMode="External" /><Relationship Type="http://schemas.openxmlformats.org/officeDocument/2006/relationships/hyperlink" Id="rId20" Target="https://disk.yandex.ru/d/p3m7pIZOeHUs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center/news/detail/10842356.html" TargetMode="External" /><Relationship Type="http://schemas.openxmlformats.org/officeDocument/2006/relationships/hyperlink" Id="rId20" Target="https://disk.yandex.ru/d/p3m7pIZOeHUs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2024-10-05T11:01:09Z</dcterms:created>
  <dcterms:modified xsi:type="dcterms:W3CDTF">2024-10-05T11:01:09Z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