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7c13c22a8ea40822d0a0423057b10988858af"/>
    <w:p>
      <w:pPr>
        <w:pStyle w:val="Heading3"/>
      </w:pPr>
      <w:r>
        <w:t xml:space="preserve">Первый дом по программе реновации построили в районе Ломоносовский</w:t>
      </w:r>
    </w:p>
    <w:p>
      <w:pPr>
        <w:pStyle w:val="FirstParagraph"/>
      </w:pPr>
      <w:r>
        <w:t xml:space="preserve">10.06.2022</w:t>
      </w:r>
    </w:p>
    <w:p>
      <w:pPr>
        <w:pStyle w:val="BodyText"/>
      </w:pPr>
      <w:r>
        <w:t xml:space="preserve">В районе Ломоносовский по адресу: улица Архитектора Власова, владение 2 ввели в эксплуатацию жилой дом для переселения по программе реновации. Это первая новостройка, которую построили в районе по программе», - сообщил руководитель Департамента строительства Москвы Рафик Загрутдинов.</w:t>
      </w:r>
      <w:r>
        <w:t xml:space="preserve"> </w:t>
      </w:r>
      <w:r>
        <w:t xml:space="preserve">Жилой дом представляет собой односекционное здание по индивидуальному проекту. Подземная одноуровневая автостоянка размещена под территорией внутреннего дворового пространства.</w:t>
      </w:r>
      <w:r>
        <w:t xml:space="preserve"> </w:t>
      </w:r>
      <w:r>
        <w:t xml:space="preserve">Перед проектировщиками стояла непростая задача: нужно гармонично вписать современное здание в пейзаж застройки прошлого века. При этом оно не должно затеряться или стать типовым. Поэтому решили использовать в облицовке фасада современные материалы с сочетанием натуральной фактуры.</w:t>
      </w:r>
      <w:r>
        <w:t xml:space="preserve"> </w:t>
      </w:r>
      <w:r>
        <w:t xml:space="preserve">Так, снаружи отделку стен выполнили керамогранитной плиткой рыжего цвета, акценты расставили красной клинкерной плиткой «под кирпич» и панелями серого цвета.</w:t>
      </w:r>
      <w:r>
        <w:t xml:space="preserve"> </w:t>
      </w:r>
      <w:r>
        <w:t xml:space="preserve">Всего здесь размещено 216 квартир (однокомнатных – 36, двухкомнатных – 120, трехкомнатных – 60).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располагаются со второго этажа. Первый этаж дома нежилой – здесь разместятся объекты инфраструктуры, помещения офисов и технических помещений для обслуживания жилых домов. Также здесь могут быть открыты магазины, кафе, салоны красоты, спортклубы, кружки и секции для детей. В вестибюле жилой части обустроены: колясочная, комната консьержа, кладовая для уборочного инвентаря, зона размещения почтовых ящиков.</w:t>
      </w:r>
      <w:r>
        <w:t xml:space="preserve"> </w:t>
      </w:r>
      <w:r>
        <w:t xml:space="preserve">Входы в жилую часть здания расположены с двух сторон: со двора и с улицы. Так потоки жильцов и посетителей магазинов не пересекутся.</w:t>
      </w:r>
      <w:r>
        <w:t xml:space="preserve"> </w:t>
      </w:r>
      <w:r>
        <w:t xml:space="preserve">В здании установлены грузопассажирские лифты, их оборудовали визуальными и тактильными средствами информации.</w:t>
      </w:r>
      <w:r>
        <w:t xml:space="preserve"> </w:t>
      </w:r>
      <w:r>
        <w:t xml:space="preserve">Новостройку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благоустроили. Во дворе оборудовали детскую и спортивную площадки, разбили газоны и цветники, высадили деревья и кустарники.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http://upt.mos.ru/presscenter/news/detail/10863061.html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863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863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2025-07-24T22:58:58Z</dcterms:created>
  <dcterms:modified xsi:type="dcterms:W3CDTF">2025-07-24T22:58:58Z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