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908b24fa90d02d9f7dea52f9af9c8ffcbdd3c"/>
    <w:p>
      <w:pPr>
        <w:pStyle w:val="Heading3"/>
      </w:pPr>
      <w:r>
        <w:t xml:space="preserve">11 объектов здравоохранения введут в эксплуатацию до конца года</w:t>
      </w:r>
    </w:p>
    <w:p>
      <w:pPr>
        <w:pStyle w:val="FirstParagraph"/>
      </w:pPr>
      <w:r>
        <w:t xml:space="preserve">13.09.2022</w:t>
      </w:r>
    </w:p>
    <w:p>
      <w:pPr>
        <w:pStyle w:val="BodyText"/>
      </w:pPr>
      <w:r>
        <w:t xml:space="preserve">«До конца 2022 года планируется ввести 11 объектов здравоохранения общей площадью 285 тыс.кв.м: 5 поликлиник на 2890 посещений в смену в различных округах столицы, 2 скоропомощных стационарных комплекса для НИИ СП им. Склифосовского и больницы им. Боткина, подстанцию скорой медицинской помощи, 3 больничных корпуса: детский корпус больницы в Коммунарке, новый лечебно-диагностический комплекс ИКБ №1 и лечебно-диагностический комплекс МКНЦ имени А.С. Логинова», – сообщил руководитель Департамента строительства Москвы Рафик Загрутдинов на встрече с журналистами «На 7 этаже».</w:t>
      </w:r>
      <w:r>
        <w:t xml:space="preserve"> </w:t>
      </w:r>
      <w:r>
        <w:t xml:space="preserve">Он также отметил, что с начала года введено в эксплуатацию 5 медицинских объектов: 2 больничных корпуса (перинатальный центр больницы в Коммунарке, медицинский корпус больницы им. Ерамишанцева) и 3 детские поликлиники в районах Кунцево, Савеловский и Войковский.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http://upt.mos.ru/press-tsent/novost/detail/11046831.html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046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046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2025-06-23T14:57:56Z</dcterms:created>
  <dcterms:modified xsi:type="dcterms:W3CDTF">2025-06-23T14:57:56Z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