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077a8f8f2e348fca8807d0040d39818ee3104"/>
    <w:p>
      <w:pPr>
        <w:pStyle w:val="Heading3"/>
      </w:pPr>
      <w:r>
        <w:t xml:space="preserve">«Стратегия социальной поддержки населения субъектов РФ 2023» — Общественный обзор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hyperlink r:id="rId20">
        <w:r>
          <w:rPr>
            <w:rStyle w:val="Hyperlink"/>
          </w:rPr>
          <w:t xml:space="preserve">https://rusregioninform.ru/novosti-regionov/strategiya-soczialnoj-podderzhki-naseleniya-subektov-rf-2023-obshhestvennyj-obzor.html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http://upt.mos.ru/press-tsent/novost/detail/11153295.html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153295.html" TargetMode="External" /><Relationship Type="http://schemas.openxmlformats.org/officeDocument/2006/relationships/hyperlink" Id="rId20" Target="https://rusregioninform.ru/novosti-regionov/strategiya-soczialnoj-podderzhki-naseleniya-subektov-rf-2023-obshhestvennyj-obzor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153295.html" TargetMode="External" /><Relationship Type="http://schemas.openxmlformats.org/officeDocument/2006/relationships/hyperlink" Id="rId20" Target="https://rusregioninform.ru/novosti-regionov/strategiya-soczialnoj-podderzhki-naseleniya-subektov-rf-2023-obshhestvennyj-obzor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2025-06-10T12:28:53Z</dcterms:created>
  <dcterms:modified xsi:type="dcterms:W3CDTF">2025-06-10T12:28:53Z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