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dc4c007b9f6570a842ddd1a01e31f958dcb8c"/>
    <w:p>
      <w:pPr>
        <w:pStyle w:val="Heading3"/>
      </w:pPr>
      <w:r>
        <w:t xml:space="preserve">Рафик Загрутдинов: спорткомплекс «Ника» в Текстильщиках готов на 90 процентов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«Спортивный комплекс «Ника» для занятий волейболом в Текстильщиках готов на 90 процентов. Строители полностью завершили фасадные работы, в активной фазе благоустройство прилегающей территории. Также завершаются строительные работы во всех спортивных зонах объекта. В игровом зале для тренировочных занятий и соревнований по волейболу с трибунами на 300 мест завершена укладка спортивного паркета. Завершить основные строительные работы планируем в сентябре», - сообщил журналистам на пресс-туре руководитель Департамента строительства города Москвы Рафик Загрутдинов.</w:t>
      </w:r>
      <w:r>
        <w:t xml:space="preserve"> </w:t>
      </w:r>
      <w:r>
        <w:t xml:space="preserve">По его словам, в бассейне для оздоровительного плавания проводим пуско-наладочные работы, а тренажерный зал уже полностью укомплектован необходимым оборудованием. Также на финальном этапе чистовая отделка.</w:t>
      </w:r>
      <w:r>
        <w:t xml:space="preserve"> </w:t>
      </w:r>
      <w:r>
        <w:t xml:space="preserve">Напомним, что объект спроектирован с учетом специальных требований и нюансов, присущих этому виду спорта. Игровой зал отвечает всем современным требованиям и разработан с учетом потребностей спортсменов.</w:t>
      </w:r>
      <w:r>
        <w:t xml:space="preserve"> </w:t>
      </w:r>
      <w:r>
        <w:t xml:space="preserve">«В зоне игрового зала подобрали специализированное амортизационное напольное покрытие, которое при приземлении спортсмена после прыжка снизит нагрузку на его позвоночник за счет погашения импульса от соприкосновения с покрытием. Данный эффект достигается благодаря специальным полиуретановым амортизаторам, которые установлены на основании паркета», - ранее отмечал Рафик Загрутдинов.</w:t>
      </w:r>
      <w:r>
        <w:t xml:space="preserve"> </w:t>
      </w:r>
      <w:r>
        <w:t xml:space="preserve">Игровой зал будет оснащен перегородками, которые позволят для тренировок поделить пространство на три площадки, а во время соревнований площадки будут трансформироваться в одну. Для беспрепятственного движения мяча в пространстве зала была выдержана чистая высота потолка не менее 12 метров от уровня пола до конструкций потолка, с учетом этих требований также смонтированы акустические и осветительные системы.</w:t>
      </w:r>
      <w:r>
        <w:t xml:space="preserve"> </w:t>
      </w:r>
      <w:r>
        <w:t xml:space="preserve">Помимо игрового зала с трибунами на 300 мест, объект будет включать в себя бассейн, тренажерный и конференц-зал, буфет и медицинские помещения. В целом в сутки объект сможет принять 1384 человека. Для обеспечения максимального удобства посетителей и спортсменов предусмотрено разделение потоков в режиме проведения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http://upt.mos.ru/press-tsent/novost/detail/11715360.html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15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15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2025-06-27T22:15:27Z</dcterms:created>
  <dcterms:modified xsi:type="dcterms:W3CDTF">2025-06-27T22:15:27Z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