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16030211beed883fa4dc531e65cbd5e860a90"/>
    <w:p>
      <w:pPr>
        <w:pStyle w:val="Heading3"/>
      </w:pPr>
      <w:r>
        <w:t xml:space="preserve">Рафик Загрутдинов: Объем бюджетных ассигнований в рамках Адресной инвестиционной программы к 2025 году составит почти триллион рублей</w:t>
      </w:r>
    </w:p>
    <w:p>
      <w:pPr>
        <w:pStyle w:val="FirstParagraph"/>
      </w:pPr>
      <w:r>
        <w:t xml:space="preserve">08.08.2023</w:t>
      </w:r>
    </w:p>
    <w:p>
      <w:pPr>
        <w:pStyle w:val="BodyText"/>
      </w:pPr>
      <w:r>
        <w:t xml:space="preserve">Об этом сообщил глава столичного Департамента строительства Рафик Загрутдинов в рамках Московского урбанистического форума, подводя итоги работы за семь месяцев 2023 года.</w:t>
      </w:r>
      <w:r>
        <w:br/>
      </w:r>
      <w:r>
        <w:t xml:space="preserve">«Несмотря на внешнеэкономические вызовы, Правительство Москвы сохраняет стабильное выделение бюджетных ассигнований, последовательно увеличивая объемы финансирования строительной отрасли. К 2025 году мы приближаемся почти к одному триллиону рублей», – отметил Рафик Загрутдинов.</w:t>
      </w:r>
      <w:r>
        <w:br/>
      </w:r>
      <w:r>
        <w:t xml:space="preserve">По его словам, бюджетные средства распределяются на строительство, в частности, объектов социальной инфраструктуры, таких как школы, сады, поликлиники и объекты спорта, а также на жилищное строительство.</w:t>
      </w:r>
      <w:r>
        <w:br/>
      </w:r>
      <w:r>
        <w:t xml:space="preserve">«Что касается ввода объектов, Москва продолжает наращивать темпы строительства, тем самым повышая показатель роста качества городской среды. К 2025 году объемы ввода объектов, в том числе жилья по программе реновации жилищного фонда вырастут до около 5 миллионов квадратных метров ежегодно», – добавил Рафик Загрутдинов.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http://upt.mos.ru/press-tsent/novost/detail/11760128.html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601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601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2025-06-15T06:11:40Z</dcterms:created>
  <dcterms:modified xsi:type="dcterms:W3CDTF">2025-06-15T06:11:40Z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