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3b42930e25fe9ba1f58aeb150eb4a8d224bde"/>
    <w:p>
      <w:pPr>
        <w:pStyle w:val="Heading3"/>
      </w:pPr>
      <w:r>
        <w:t xml:space="preserve">Объем ежегодного ввода объектов недвижимости в Москве приблизится к 5 млн кв. м к 2025 году – сообщило АГН Москва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К 2025 году объем ежегодного ввода в эксплуатацию объектов недвижимости в столице увеличится до 5 млн кв. м, сообщила пресс-служба департамента строительства Москвы.</w:t>
      </w:r>
      <w:r>
        <w:br/>
      </w:r>
      <w:r>
        <w:t xml:space="preserve">«Что касается ввода объектов, Москва продолжает наращивать темпы строительства, тем самым повышая показатель роста качества городской среды. К 2025 году объемы ввода объектов, в том числе жилья по программе реновации жилищного фонда, вырастут до около 5 млн кв. м ежегодно», – приводятся в сообщении слова руководителя департамента Рафика Загрутдинова.</w:t>
      </w:r>
      <w:r>
        <w:br/>
      </w:r>
      <w:r>
        <w:t xml:space="preserve">По его словам, несмотря на внешнеэкономические вызовы, правительство Москвы сохраняет стабильное выделение бюджетных ассигнований, последовательно увеличивая объемы финансирования строительной отрасли. «К 2025 году мы приближаемся почти к 1 трлн руб.», – подчеркнул он.</w:t>
      </w:r>
      <w:r>
        <w:br/>
      </w:r>
      <w:r>
        <w:t xml:space="preserve">Загрутдинов уточнил, что бюджетные средства распределяются на строительство, в частности, объектов социальной инфраструктуры, таких как школы, сады, поликлиники и объекты спорта, а также на жилищное строительство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2024-09-02T18:04:52Z</dcterms:created>
  <dcterms:modified xsi:type="dcterms:W3CDTF">2024-09-02T18:04:52Z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