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553ccf25872e53012dc09fc8b34594319ae5"/>
    <w:p>
      <w:pPr>
        <w:pStyle w:val="Heading3"/>
      </w:pPr>
      <w:r>
        <w:t xml:space="preserve">Триллион к 2025 году. Москва продолжит выделять средства на строительство – сообщили Аргументы и факты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Объем бюджетных ассигнований в рамках адресной инвестиционной программы к 2025 году составит почти триллион рублей. Об этом сообщил глава столичного департамента строительства Рафик Загрутдинов в рамках Московского урбанистического форума, подводя итоги работы за семь месяцев 2023 года.</w:t>
      </w:r>
      <w:r>
        <w:br/>
      </w:r>
      <w:r>
        <w:t xml:space="preserve">«Несмотря на внешнеэкономические вызовы, правительство Москвы сохраняет стабильное выделение бюджетных ассигнований, последовательно увеличивая объемы финансирования строительной отрасли. К 2025 году мы приближаемся почти к одному триллиону рублей», — отметил Загрутдинов.</w:t>
      </w:r>
      <w:r>
        <w:br/>
      </w:r>
      <w:r>
        <w:t xml:space="preserve">По его словам, бюджетные средства распределяются на строительство, в частности, объектов социальной инфраструктуры, таких как школы, сады, поликлиники и объекты спорта, а также на жилищное строительство.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2025-06-26T09:37:23Z</dcterms:created>
  <dcterms:modified xsi:type="dcterms:W3CDTF">2025-06-26T09:37:23Z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