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f50359ae6fcaf8d5f133fb805fe4e2c4c7608"/>
    <w:p>
      <w:pPr>
        <w:pStyle w:val="Heading3"/>
      </w:pPr>
      <w:r>
        <w:t xml:space="preserve">Цифровой двойник. В системе электронных сервисов Москвы есть 704 объекта – Аргументы и Факты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Более 700 объектов департамента строительства находятся в системе цифровых сервисов.</w:t>
      </w:r>
      <w:r>
        <w:br/>
      </w:r>
      <w:r>
        <w:t xml:space="preserve">"Опыт департамента строительства в цифровизации на сегодняшний день уже достаточно обширен. Технический документооборот на протяжении всего жизненного цикла сейчас уже полностью находится в электронном виде. Сейчас все объекты, которые мы строим, за небольшим исключением сопровождаются документами в электронном виде — от ПИРов до оплаты и передачи на баланс. 704 объекта сегодня у нас находятся в системе цифровых сервисов", —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  <w:r>
        <w:t xml:space="preserve">По его словам, департамент активно занимается вопросами внедрения ТИМ —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"Сейчас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— также отметил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2025-06-10T18:30:08Z</dcterms:created>
  <dcterms:modified xsi:type="dcterms:W3CDTF">2025-06-10T18:30:08Z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