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db95138609984004e824a557db0562df005f7"/>
    <w:p>
      <w:pPr>
        <w:pStyle w:val="Heading3"/>
      </w:pPr>
      <w:r>
        <w:t xml:space="preserve">Более 700 строящихся по госзаказу объектов в столице охвачены ТИМ – Газета России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объектов в столице находятся в системе цифровых сервисов, сообщил журналистам на стратегической сессии по вопросам цифровизации Московском урбанистическом форуме (МУФ) руководитель Департамента строительства Москвы Рафик Загрутдинов.</w:t>
      </w:r>
      <w:r>
        <w:br/>
      </w:r>
      <w:r>
        <w:t xml:space="preserve">Он отметил, что в городе продолжается трансформация строительной отрасли. На данный момент обязательное условие для застройщиков – работа с применением технологий информационного моделирования (ТИМ).</w:t>
      </w:r>
      <w:r>
        <w:br/>
      </w:r>
      <w:r>
        <w:t xml:space="preserve">"На сегодня все вновь заключаемые контракты на проектирование идут с применением ТИМ. 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– пояснил Рафик Загрутдинов.</w:t>
      </w:r>
      <w:r>
        <w:br/>
      </w:r>
      <w:r>
        <w:t xml:space="preserve">По его словам, 80% от общего количества столичных строек ведется с помощью технологий информационного моделирования. Процесс полностью организован на базе отечественного программного обеспечения.</w:t>
      </w:r>
      <w:r>
        <w:br/>
      </w:r>
      <w:r>
        <w:t xml:space="preserve">"Технический документооборот на протяжении всего жизненного цикла объекта уже</w:t>
      </w:r>
      <w:r>
        <w:br/>
      </w:r>
      <w:r>
        <w:t xml:space="preserve">полностью находится в электронном виде. Сейчас все объекты, которые мы строим, за небольшим исключением, сопровождаются документами в электронном виде – от ПИРов до оплаты и передачи на баланс", – добавил Загрутдинов.</w:t>
      </w:r>
      <w:r>
        <w:br/>
      </w:r>
      <w:r>
        <w:t xml:space="preserve">Напомним, Москва лидирует по оптимизации и информатизации разрешительных процедур в строительной отрасли. Работа по упрощению оформления документов ведется в столице с 2013 года. Планируется, что к 2030 году будет создана цифровая среда общих данных.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2024-09-02T19:34:11Z</dcterms:created>
  <dcterms:modified xsi:type="dcterms:W3CDTF">2024-09-02T19:34:11Z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