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de28726e1c33258c027266561759ab80b1fd7"/>
    <w:p>
      <w:pPr>
        <w:pStyle w:val="Heading3"/>
      </w:pPr>
      <w:r>
        <w:t xml:space="preserve">Более 700 объектов департамента строительства Москвы находятся в системе цифровых сервисов – сообщила Российская Газета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Более 700 объектов департамента строительства Москвы уже находятся в системе цифровых сервисов. Об этом сообщил глава ведомства Рафик Загрутдинов.</w:t>
      </w:r>
      <w:r>
        <w:br/>
      </w:r>
      <w:r>
        <w:t xml:space="preserve">"Опыт департамента строительства в цифровизации уже достаточно обширен. Технический документооборот на протяжении всего жизненного цикла сейчас полностью находится в электронном виде. Все объекты, которые мы строим, за небольшим исключением сопровождаются документами в электронном виде - от создания проекта до передачи на баланс собственника. Всего 704 объекта уже находятся в системе цифровых сервисов", - сообщил Рафик Загрутдинов на стратегической сессии по вопросам цифровизации строительной отрасли в рамках Московского урбанистического форума.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2025-07-02T17:50:40Z</dcterms:created>
  <dcterms:modified xsi:type="dcterms:W3CDTF">2025-07-02T17:50:40Z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