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49a1d84836311a1e05d7f2822e6a005f323c0"/>
    <w:p>
      <w:pPr>
        <w:pStyle w:val="Heading3"/>
      </w:pPr>
      <w:r>
        <w:t xml:space="preserve">Почти тысяча рабочих задействовано на реконструкции трех развязок на МКАД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К реконструкции трех клеверных развязок на МКАД привлечены почти тысяча специалистов и около ста специализированных строительных машин. Об этом рассказал на пресс-туре руководитель Департамента строительства города Москвы Рафик Загрутдинов.</w:t>
      </w:r>
      <w:r>
        <w:t xml:space="preserve"> </w:t>
      </w:r>
      <w:r>
        <w:t xml:space="preserve">«Продолжаются работы по модернизации устаревших развязок на МКАД на пересечении с Алтуфьевским шоссе, Липецкой улицей и Верхние поля. В общей сложности на этих объектах задействованы более 990 человек и 100 единиц различной техники», - отметил Рафик Загрутдинов.</w:t>
      </w:r>
      <w:r>
        <w:t xml:space="preserve"> </w:t>
      </w:r>
      <w:r>
        <w:t xml:space="preserve">По его словам, широко применяются буровые сваебойные машины, а также сверх грузоподъемные краны 500 и 750 тонн, стапельные и домкратные системы для пролетных строений, AVN-комплексы для выполнения закрытых проходок без остановки движения автомобилей.</w:t>
      </w:r>
      <w:r>
        <w:t xml:space="preserve"> </w:t>
      </w:r>
      <w:r>
        <w:t xml:space="preserve">Рафик Загрутдинов уточнил, за предыдущие годы в столице было реконструировано 19 развязок. «Реконструкция и строительство развязок на МКАД является одним из приоритетов развития транспортной системы Москвы. Помимо реконструкции самих развязок и вылетных магистралей Правительство Москвы проводит комплексные мероприятия по развитию прилегающей улично-дорожной сети и расширению проезжей части МКАД за счет строительства боковых проездов и переходно-скоростных полос», – добавил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http://upt.mos.ru/press-tsent/novost/detail/11777682.html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7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7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2024-09-02T18:12:55Z</dcterms:created>
  <dcterms:modified xsi:type="dcterms:W3CDTF">2024-09-02T18:12:55Z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