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67f858a159fb55f36451646c98c087d848ff8"/>
    <w:p>
      <w:pPr>
        <w:pStyle w:val="Heading3"/>
      </w:pPr>
      <w:r>
        <w:t xml:space="preserve">Рафик Загрутдинов: в Троицке началось строительство двух жилых корпусов по программе реновации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«В Троицке по адресу: Спортивная улица, з/у 1 началось строительство двух жилых корпусов для переселения по программе реновации. В настоящее время идут работы подготовительного периода, разработка котлована.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Два жилых корпуса будут 11-этажными, первый корпус будет односекционным, второй – трехсекционным. Фасады зданий облицуют бетонной плиткой.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240 квартир (однокомнатных – 82, двухкомнатных – 128, трехкомнатных – 28, четырехкомнатных - 2).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два современных лифта грузоподъемностью 630 кг и 1 000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Как ранее отмечал Мэр Москвы Сергей Собянин, всего для строительства новых домов по Программе реновации подобраны уже 592 стартовые площадки общей мощностью порядка 9,6 млн кв. м.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http://upt.mos.ru/press-tsent/novost/detail/11816246.html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16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16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2025-08-02T00:32:57Z</dcterms:created>
  <dcterms:modified xsi:type="dcterms:W3CDTF">2025-08-02T00:32:57Z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