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545a0e16008412f0d7cccb66d2f5a43a881b"/>
    <w:p>
      <w:pPr>
        <w:pStyle w:val="Heading3"/>
      </w:pPr>
      <w:r>
        <w:t xml:space="preserve">Рафик Загрутдинов: в районе Богородское началось строительство двух жилых корпусов по программе реновации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t xml:space="preserve">«В районе Богородское по адресу: улица Игральная, владение 1 началось строительство двух жилых корпусов для переселения по программе реновации. В настоящее время ведутся работы по устройству шпунтового ограждения.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Два жилых корпуса будут переменной этажности, на подземном уровне расположится паркинг. Фасады облицуют керамогранитными плитами, на них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Всего здесь будет 486 (однокомнатных – 146, двухкомнатных – 280, трёхкомнатных – 60). Семь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Первый этаж сделают нежилым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площадки для детских игр, спортивных занятий и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http://upt.mos.ru/press-tsent/novost/detail/11863583.html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3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3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2024-09-01T15:17:54Z</dcterms:created>
  <dcterms:modified xsi:type="dcterms:W3CDTF">2024-09-01T15:17:54Z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