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8be7db0534c4316e2b7209435838e17ef9ea"/>
    <w:p>
      <w:pPr>
        <w:pStyle w:val="Heading3"/>
      </w:pPr>
      <w:r>
        <w:t xml:space="preserve">Рафик Загрутдинов: три жилых дома строят по программе реновации в районе Северное Тушино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«Сегодня на территории района Северное Тушино для переселения по программе реновации строят 3 жилых дома площадью 74,6 тыс. квадратных метров. В проектировании находятся еще 4 объекта жилой площадью 75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Героев Панфиловцев ул., вл. 31</w:t>
      </w:r>
      <w:r>
        <w:t xml:space="preserve"> </w:t>
      </w:r>
      <w:r>
        <w:t xml:space="preserve">2. Героев Панфиловцев ул., вл. 39, корп. 2</w:t>
      </w:r>
      <w:r>
        <w:t xml:space="preserve"> </w:t>
      </w:r>
      <w:r>
        <w:t xml:space="preserve">3. Героев Панфиловцев ул., з/у 49 (зона 3.1)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реновации в районе введены 3 новостройки. Всего в районе Северное Тушино новые квартиры по программе реновации получат жители 60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http://upt.mos.ru/press-tsent/novost/detail/11972252.html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2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2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2024-09-17T18:07:07Z</dcterms:created>
  <dcterms:modified xsi:type="dcterms:W3CDTF">2024-09-17T18:07:07Z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