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ea14e24617278d330f62dce99c63e2d6370c5"/>
    <w:p>
      <w:pPr>
        <w:pStyle w:val="Heading3"/>
      </w:pPr>
      <w:r>
        <w:t xml:space="preserve">Рафик Загрутдинов: в районе Останкинский ввели в эксплуатацию жилой дом по программе реновации</w:t>
      </w:r>
    </w:p>
    <w:p>
      <w:pPr>
        <w:pStyle w:val="FirstParagraph"/>
      </w:pPr>
      <w:r>
        <w:t xml:space="preserve">12.12.2023</w:t>
      </w:r>
    </w:p>
    <w:p>
      <w:pPr>
        <w:pStyle w:val="BodyText"/>
      </w:pPr>
      <w:r>
        <w:t xml:space="preserve">«В районе Останкинский по адресу улица Годовикова, дом 10 ввели в эксплуатацию жилой дом для переселения по программе реновации», - сообщил руководитель Департамента строительства Москвы Рафик Загрутдинов.</w:t>
      </w:r>
      <w:r>
        <w:t xml:space="preserve"> </w:t>
      </w:r>
      <w:r>
        <w:t xml:space="preserve">Жилой дом - двухсекционный переменной этажности по индивидуальному проекту. Подземная одноуровневая автостоянка размещена под территорией внутреннего дворового пространства.</w:t>
      </w:r>
      <w:r>
        <w:t xml:space="preserve"> </w:t>
      </w:r>
      <w:r>
        <w:t xml:space="preserve">Фасад новостройки оформили керамогранитными панелями. Архитекторы решили выделить секции тремя цветами: кирпично-оранжевым, белым, серым. Так новостройка впишется в облик района. На фасадах установили металлические корзины для кондиционеров.</w:t>
      </w:r>
      <w:r>
        <w:t xml:space="preserve"> </w:t>
      </w:r>
      <w:r>
        <w:t xml:space="preserve">Всего в доме 222 квартиры (однокомнатных – 64, двухкомнатных – 108, трехкомнатных – 48, четырехкомнатных -2). Пять квартир оборудованы для маломобильных жильцов. В них увеличили ширину коридоров и установят специальную сантехнику. Готовая улучшенная отделка в новых квартирах полностью соответствует стандартам реновации, утвержденным постановлением Правительства Москвы.</w:t>
      </w:r>
      <w:r>
        <w:t xml:space="preserve"> </w:t>
      </w:r>
      <w:r>
        <w:t xml:space="preserve">Квартиры располагаются со второго этажа. Первые этажи домов - нежилые и предусмотрены для размещения объектов инфраструктуры, помещений офисов и технических помещений для обслуживания жилых домов. Здесь могут быть открыты магазины, кафе, салоны красоты, спортклубы, кружки и секции для детей. В вестибюле жилой части располагаются: колясочная, комната консьержа, кладовая для уборочного инвентаря, зона размещения почтовых ящиков.</w:t>
      </w:r>
      <w:r>
        <w:t xml:space="preserve"> </w:t>
      </w:r>
      <w:r>
        <w:t xml:space="preserve">В зданиях установили современные грузопассажирские лифты, их оборудовали визуальными и тактильными средствами информации.</w:t>
      </w:r>
      <w:r>
        <w:t xml:space="preserve"> </w:t>
      </w:r>
      <w:r>
        <w:t xml:space="preserve">Новостройку оснастили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Придомовую территорию благоустроили и озеленили. Во дворе нового дома установили детскую игровую площадку с современными качелями и горками. Для любителей уличного спорта появились новые тренажеры, турники и брусья.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http://upt.mos.ru/press-tsent/novost/detail/12039687.html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396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396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2024-09-02T15:30:32Z</dcterms:created>
  <dcterms:modified xsi:type="dcterms:W3CDTF">2024-09-02T15:30:32Z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