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ced1993ad77b2a1b836f146e64501842fd164"/>
    <w:p>
      <w:pPr>
        <w:pStyle w:val="Heading3"/>
      </w:pPr>
      <w:r>
        <w:t xml:space="preserve">Рафик Загрутдинов: три жилых дома строят по программе реновации в районе Нижегородский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«Сегодня на территории района Нижегородский для переселения по программе реновации строят три жилых дома площадью 62,4 тыс. квадратных метров. В проектировании находятся 7 объектов жилой площадью 133,3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реновации в районе Нижегородский введено в эксплуатацию 5 домов. Всего в районе Нижегородский новые квартиры по программе реновации получат жители 92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http://upt.mos.ru/press-tsent/novost/detail/12118624.html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8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2025-07-09T23:03:34Z</dcterms:created>
  <dcterms:modified xsi:type="dcterms:W3CDTF">2025-07-09T23:03:34Z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