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dde6e42bc7a8b6f8c86d3784ee8efa280d673"/>
    <w:p>
      <w:pPr>
        <w:pStyle w:val="Heading3"/>
      </w:pPr>
      <w:r>
        <w:t xml:space="preserve">Рафик Загрутдинов: в районе Южное Тушино завершен снос первых домов по программе реновации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«В районе Южное Тушино завершен снос первых отселенных домов в рамках реализации программы реновации. Здания располагались по адресам: Окружная улица, дом 2А и Светлогорский проезд, дом 1. Их жители переехали в новые квартиры в том же районе по адресу: Светлогорский проезд, дом 7а. На месте снесенных домов возведут новостройки для переселения по программе реновации»,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  <w:r>
        <w:t xml:space="preserve"> </w:t>
      </w:r>
      <w:r>
        <w:t xml:space="preserve">«Всего же с начала реализации Программы реновации на территории северо-западного округа уже осуществлен снос 26 домов», - также добавил Рафик Загрутдинов.</w:t>
      </w:r>
      <w:r>
        <w:t xml:space="preserve"> </w:t>
      </w:r>
      <w:r>
        <w:t xml:space="preserve">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http://upt.mos.ru/press-tsent/novost/detail/12137969.html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37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37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2024-02-02T13:28:37Z</dcterms:created>
  <dcterms:modified xsi:type="dcterms:W3CDTF">2024-02-02T13:28:37Z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