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40530ff76458503eefcbf9a24b55f86c7dc0"/>
    <w:p>
      <w:pPr>
        <w:pStyle w:val="Heading3"/>
      </w:pPr>
      <w:r>
        <w:t xml:space="preserve">Рафик Загрутдинов: два жилых корпуса по программе реновации начали строить в районе Северное Тушино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«В районе Северное Тушино по адресу: бульвар Яна Райниса, владение 2, корпуса 2, 3 началось строительство двух жилых корпусов для переселения по программе реновации. Фасады выполнят в теплых песочных и терракотовых оттенках. В настоящее время ведутся работы по устройству шпунтового ограждения»,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Фасады зданий выполнят из навесных трехслойных панелей, облицованных архитектурным бетоном, кирпичной и керамической плиткой. На них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Всего здесь будет 390 квартир (однокомнатных – 69, двухкомнатных – 256, трехкомнатных – 65). Шесть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две детские площадки с безопасными резиновым покрытием и спортивную площадку,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http://upt.mos.ru/press-tsent/novost/detail/12155157.html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2024-02-08T12:25:26Z</dcterms:created>
  <dcterms:modified xsi:type="dcterms:W3CDTF">2024-02-08T12:25:26Z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