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9f04157ab58daabc48f7b97dfc184153003ed"/>
    <w:p>
      <w:pPr>
        <w:pStyle w:val="Heading3"/>
      </w:pPr>
      <w:r>
        <w:t xml:space="preserve">Рафик Загрутдинов: 12 уникальных светильников украсят строящуюся станцию Бачуринская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Ключевым элементом строящейся станции «Бачуринская» станут 12 светильников-турбин. Об этом рассказал руководитель Департамента строительства города Москвы Рафик Загрутдинов.</w:t>
      </w:r>
      <w:r>
        <w:t xml:space="preserve"> </w:t>
      </w:r>
      <w:r>
        <w:t xml:space="preserve">«Архитектурный светильник, идущий вдоль конструктивной оси станции, пронизывает пространство, образованное чередованием матовых поверхностей несущих рам и глянцевых плоскостей путевых стен и потолка. Вес каждого светильника 750 килограмм, а размеры составляют почти 10 метров. На текущий момент смонтирован 1 из 12 таких светильников», – отметил Рафик Загрутдинов.</w:t>
      </w:r>
      <w:r>
        <w:t xml:space="preserve"> </w:t>
      </w:r>
      <w:r>
        <w:t xml:space="preserve">Ранее в своем Телеграм-канале Мэр Москвы Сергей Собянин сообщил, что общая строительная готовность станции составляет 70%. Сейчас ведутся работы по устройству монолитных конструкций пешеходных переходов, верхнего строения пути, отделочные работы, ведется монтаж инженерного оборудования.</w:t>
      </w:r>
      <w:r>
        <w:t xml:space="preserve"> </w:t>
      </w:r>
      <w:r>
        <w:t xml:space="preserve">Станция «Бачуринская» мелкого заложения, всего около 15 метров. Наземные павильоны связаны с платформой лестничными сходами. Станция будет оборудована лифтами для маломобильных групп населения.</w:t>
      </w:r>
      <w:r>
        <w:t xml:space="preserve"> </w:t>
      </w:r>
      <w:r>
        <w:t xml:space="preserve">При отделке станции применяются гранит различных оттенков, стекло алюминий и нержавеющая сталь.</w:t>
      </w:r>
      <w:r>
        <w:t xml:space="preserve"> </w:t>
      </w:r>
      <w:r>
        <w:t xml:space="preserve">«В целом реализация объекта улучшит транспортное обслуживание населения соседних поселений Сосенское и Воскресенское, Новомосковского административного округа города Москвы, и сократит временные затраты пассажиров», – отметил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http://upt.mos.ru/press-tsent/novost/detail/12155627.html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5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5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2024-02-09T20:59:52Z</dcterms:created>
  <dcterms:modified xsi:type="dcterms:W3CDTF">2024-02-09T20:59:52Z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