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e8ea9ac9e1717ed103b95c6c670dc2dc79dac"/>
    <w:p>
      <w:pPr>
        <w:pStyle w:val="Heading3"/>
      </w:pPr>
      <w:r>
        <w:t xml:space="preserve">Рафик Загрутдинов: два жилых дома строят по программе реновации в районе Басманный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«Сегодня на территории района Басманный для переселения по программе реновации строят два жилых дом площадью 9,1 тыс. квадратных метров. В проектировании находятся 7 объектов площадью 40,3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Посланников пер., з/у 18 (вл. 18)</w:t>
      </w:r>
      <w:r>
        <w:t xml:space="preserve"> </w:t>
      </w:r>
      <w:r>
        <w:t xml:space="preserve">2. Большая Почтовая ул., д. 18, стр. 1-6, 8, 9, д. 20, стр. 1-4.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реновации в районе введены в эксплуатацию две новостройки на Бакунинской улице, дом 60/2 и на Бауманской улице, дом 47. Всего в районе Басманный новые квартиры по программе реновации получат жители 26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http://upt.mos.ru/press-tsent/novost/detail/12171853.html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2025-07-23T03:31:40Z</dcterms:created>
  <dcterms:modified xsi:type="dcterms:W3CDTF">2025-07-23T03:31:40Z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