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625b6a7ff187aacdec6bd587fd2c16bdf3c6d"/>
    <w:p>
      <w:pPr>
        <w:pStyle w:val="Heading3"/>
      </w:pPr>
      <w:r>
        <w:t xml:space="preserve">Рафик Загрутдинов: 21 жилой дом строят и проектируют по реновации в районе Измайлово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r>
        <w:t xml:space="preserve">«Сегодня на территории района Измайлово для переселения по программе реновации строят 2 жилых дома жилой площадью 40,6 тыс. квадратных метров по адресам: Никитинская улица, з/у 5 и Сиреневый бульвар, з/у 4/7, 4/7А. В проектировании находятся 19 объектов жилой площадью 249,4 тыс.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«Со старта Программы в районе введено три дома по адресам: Измайловский пр., д. 5/1, к. 1, к. 2, к. 3, к. 4, Сиреневый б-р, д. 4/1 и Измайловский пр-д, д.5А. Всего в районе Измайлово новые квартиры по программе реновации получат жители 59 домов», - также добавил Рафик Загрутдинов.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пять лет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пяти-семи миллионов квадратных метров в год.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http://upt.mos.ru/press-tsent/novost/detail/12260638.html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0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260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2024-09-02T17:05:34Z</dcterms:created>
  <dcterms:modified xsi:type="dcterms:W3CDTF">2024-09-02T17:05:34Z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