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44d46ee3181e6a6680d977c6fdf8139d0fcf5"/>
    <w:p>
      <w:pPr>
        <w:pStyle w:val="Heading3"/>
      </w:pPr>
      <w:r>
        <w:t xml:space="preserve">Международный медицинский кластер стал партнером форума «БИОПРОМ 2024»</w:t>
      </w:r>
    </w:p>
    <w:p>
      <w:pPr>
        <w:pStyle w:val="FirstParagraph"/>
      </w:pPr>
      <w:r>
        <w:t xml:space="preserve">08.10.2024</w:t>
      </w:r>
    </w:p>
    <w:p>
      <w:pPr>
        <w:pStyle w:val="BodyText"/>
      </w:pPr>
      <w:r>
        <w:t xml:space="preserve">Международный медицинский кластер (ММК) стал партнером Международного форума «БИОПРОМ 2024», который начался в Геленджике 7 октября. Он является главным ежегодным событием в сфере биотехнологий.</w:t>
      </w:r>
      <w:r>
        <w:t xml:space="preserve"> </w:t>
      </w:r>
      <w:r>
        <w:t xml:space="preserve">Управляющей компанией ММК выступает фонд Международного медицинского кластера. Он является подведомственной организацией Департамента гражданского строительства, входящего в Комплекс градостроительной политики и строительства города Москвы.</w:t>
      </w:r>
      <w:r>
        <w:t xml:space="preserve"> </w:t>
      </w:r>
      <w:r>
        <w:t xml:space="preserve">В этом году тематикой форума выбрали человекоцентричность, а целями – продвижение российских технологий на глобальных рынках и развитие сотрудничества с международными инвесторами, производителями, научными центрами.</w:t>
      </w:r>
      <w:r>
        <w:t xml:space="preserve"> </w:t>
      </w:r>
      <w:r>
        <w:t xml:space="preserve">Одной из ключевых сессий форума с участием ММК стал мастер-класс «Инвестировать будете? Как достичь стабильного роста рынка в биотехе». Его представили ведущие эксперты – руководители инвестиционных фондов, банков, акселераторы крупнейших компаний. Спикерами выступили директор по развитию ММК Марина Казанфарова, замдиректора Центра индустриальных технологий и предпринимательства, академический директор акселерационной программы SechenovTech Алла Панченко и первый вице-президент «Газпромбанка» Александр Ушков.</w:t>
      </w:r>
      <w:r>
        <w:t xml:space="preserve"> </w:t>
      </w:r>
      <w:r>
        <w:t xml:space="preserve">«Российские биотехнологические компании сегодня активно развиваются, дополнительным стимулом для этого стал курс страны на импортозамещение и локализацию производства. Многие отечественные бренды преуспели на внутреннем рынке и готовы перейти к экспорту, их продукция востребована на рынках других стран», – рассказала Марина Казанфарова.</w:t>
      </w:r>
      <w:r>
        <w:t xml:space="preserve"> </w:t>
      </w:r>
      <w:r>
        <w:t xml:space="preserve">Одним из ключевых направлений деятельности ММК является биотех. Кластер планирует стать современным биомедицинским лабораторным комплексом и сформировать экосистему поддержки роста и развития биомедицинских компаний для коммерциализации и внедрения в производство новых разработок.</w:t>
      </w:r>
      <w:r>
        <w:t xml:space="preserve"> </w:t>
      </w:r>
      <w:r>
        <w:t xml:space="preserve">Биотех-проекты будут развиваться на территории в 19,4 гектара в Международном медицинском кластере в Сколкове. Общая площадь зданий составит 240 тысяч квадратных метров. Планируется, что там разместят свои производства российские фармкомпании и успешные биотехнологические стартапы: уже сейчас есть ряд потенциальных претендентов.</w:t>
      </w:r>
      <w:r>
        <w:t xml:space="preserve"> </w:t>
      </w:r>
      <w:r>
        <w:t xml:space="preserve">Международный медицинский кластер – это особая территория размером 58,6 гектара, предназначенная для размещения биотехнологических, медицинских и образовательных центров, формирования экосистемы для развития науки и медицины и применения лучших мировых практик на территории России. Уже сейчас на территории кластера работает клиника Hadassah Medical, в скором времени откроется Центр хронических болезней.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http://upt.mos.ru/press-tsent/novost/detail/12601634.html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01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01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2025-07-07T22:34:41Z</dcterms:created>
  <dcterms:modified xsi:type="dcterms:W3CDTF">2025-07-07T22:34:41Z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