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8ba366197ead9711ac439d2d0e0d28475a83c"/>
    <w:p>
      <w:pPr>
        <w:pStyle w:val="Heading3"/>
      </w:pPr>
      <w:r>
        <w:t xml:space="preserve">Началась выдача ключей дольщикам проблемного ЖК «Малыгина, 12»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В ранее введенном жилом комплексе «Малыгина, 12» по адресу: улица Малыгина, дом 12А, началась выдача ключей пострадавшим гражданам – участникам долевого строительства. Уже вручены первые комплекты.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«На объекте начали передачу квартир. На текущий момент подписано 75 актов приема-передачи квартир, вручено 54 комплекта ключей. Процесс приема документов для передачи квартир собственникам идет активно», – добавил Рафик Загрутдинов.</w:t>
      </w:r>
      <w:r>
        <w:t xml:space="preserve"> </w:t>
      </w:r>
      <w:r>
        <w:t xml:space="preserve">Для оформления акта приема-передачи гражданам необходимо иметь полный комплект документов, с перечнем которых можно ознакомиться на сайте Московского фонда защиты прав дольщиков.</w:t>
      </w:r>
      <w:r>
        <w:t xml:space="preserve"> </w:t>
      </w:r>
      <w:r>
        <w:t xml:space="preserve">Руководитель департамента напомнил, что общая площадь дома составляет около 23 тысяч квадратных метров, в нем предусмотрено 137 квартир. Также в состав комплекса входит подземный паркинг.</w:t>
      </w:r>
      <w:r>
        <w:t xml:space="preserve"> </w:t>
      </w:r>
      <w:r>
        <w:t xml:space="preserve">Московский фонд защиты прав дольщиков начал прием документов для передачи квартир собственникам 26 августа 2024 года. Ранее, в июле 2024 года, Мосгосстройнадзор выдал разрешение на ввод дома в эксплуатацию, а в августе 2024 года объект был поставлен на кадастровый учет.</w:t>
      </w:r>
      <w:r>
        <w:t xml:space="preserve"> </w:t>
      </w:r>
      <w:r>
        <w:t xml:space="preserve">Напомним, прежний застройщик ЖК «Малыгина, 12» ЗАО «Финансовая Корпорация» в сентябре 2014 года был признан банкротом. Мэр Москвы Сергей Собянин принял решение о достройке объекта за счет средств городского бюджета. Строительство контролировал Московский фонд защиты прав дольщиков, подведомственный Департаменту гражданского строительства города Москвы.</w:t>
      </w:r>
      <w:r>
        <w:t xml:space="preserve"> </w:t>
      </w:r>
      <w:r>
        <w:t xml:space="preserve">Полномочия и функции, связанные с завершением возведения проблемных объектов за счет бюджетных средств, переданы Департаменту гражданского строительства столицы (в соответствии с постановлением Правительства Москвы от 16 сентября 2024 года № 2096-ПП «Об утверждении Положения о Департаменте гражданского строительства города Москвы»).</w:t>
      </w:r>
      <w:r>
        <w:t xml:space="preserve"> </w:t>
      </w:r>
      <w:r>
        <w:t xml:space="preserve">«В настоящее время силами ведомства достраивается шесть проблемных объектов. В них ожидают свои квартиры около 2,5 тысячи дольщиков», – отметил Рафик Загрутдинов.</w:t>
      </w:r>
      <w:r>
        <w:t xml:space="preserve"> </w:t>
      </w:r>
      <w:r>
        <w:t xml:space="preserve">Председатель Мосгосстройнадзора Антон Слободчиков уточнил, что в настоящее время новостройка исключена из Единого реестра проблемных объектов (ЕРПО).</w:t>
      </w:r>
      <w:r>
        <w:t xml:space="preserve"> </w:t>
      </w:r>
      <w:r>
        <w:t xml:space="preserve">«Всего за 13 лет в ходе реализации мероприятий по восстановлению прав граждан – участников строительства в Москве было введено в эксплуатацию 248 проблемных объектов общей площадью свыше 2,7 миллиона квадратных метров и решены проблемы 29,6 тысячи дольщиков. Таким образом, их количество за это время сократилось более чем на 92%», – уточнил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http://upt.mos.ru/press-tsent/novost/detail/12632121.html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32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32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2025-07-05T18:24:31Z</dcterms:created>
  <dcterms:modified xsi:type="dcterms:W3CDTF">2025-07-05T18:24:31Z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