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9007251aab08563e7e3a067ab3ef77b122e5b"/>
    <w:p>
      <w:pPr>
        <w:pStyle w:val="Heading3"/>
      </w:pPr>
      <w:r>
        <w:t xml:space="preserve">Рафик Загрутдинов: строители приступили к каменной кладке стен в детском саду на Минской улице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На западе столицы, на пересечении Минской улицы и Киевского направления Московской железной дороги в районе Раменки, идет строительство нового детского сада на 150 мест.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Cтроительство объекта ведется в рамках Адресной инвестиционной программы города.</w:t>
      </w:r>
      <w:r>
        <w:t xml:space="preserve"> </w:t>
      </w:r>
      <w:r>
        <w:t xml:space="preserve">«Дошкольное образовательное учреждение будет иметь высоту три этажа. Сейчас специалисты приступили к кладке внутренних стен и перегородок. Важным условием при строительстве объекта станет обеспечение всех необходимых условий для детей с ограниченными возможностями здоровья», – рассказал Рафик Загрутдинов.</w:t>
      </w:r>
      <w:r>
        <w:t xml:space="preserve"> </w:t>
      </w:r>
      <w:r>
        <w:t xml:space="preserve">На площади свыше 3,3 тысячи квадратных метров будут обустроены два зала – один для физкультурных занятий, а другой – для музыкальных, кабинет для развивающих занятий, медицинский пункт и пищеблок с полным технологическим циклом. Проект включает возможность зонирования пространства с помощью трансформируемых перегородок.</w:t>
      </w:r>
      <w:r>
        <w:t xml:space="preserve"> </w:t>
      </w:r>
      <w:r>
        <w:t xml:space="preserve">По поручению мэра Москвы Сергея Собянина в столице особое внимание уделяется качеству строительства объектов образования.</w:t>
      </w:r>
      <w:r>
        <w:t xml:space="preserve"> </w:t>
      </w:r>
      <w:r>
        <w:t xml:space="preserve">«Мосгосстройнадзор контролирует возведение детского сада на всех этапах. В ходе пятой выездной проверки инспекторы осмотрели выполненные монолитные и каменные работы. Параллельно специалисты подведомственного Центра экспертиз провели шесть видов лабораторно-инструментальных исследований, включая испытание класса бетона по прочности на сжатие и оценку соответствия геометрических параметров требованиям проектной документации», – добавил председатель Мосгосстройнадзора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http://upt.mos.ru/press-tsent/novost/detail/12772404.html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7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2025-07-05T03:44:59Z</dcterms:created>
  <dcterms:modified xsi:type="dcterms:W3CDTF">2025-07-05T03:44:59Z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